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left="465" w:leftChars="1" w:hanging="463" w:hangingChars="128"/>
        <w:jc w:val="center"/>
        <w:rPr>
          <w:rFonts w:ascii="宋体" w:hAnsi="宋体"/>
          <w:b/>
          <w:sz w:val="36"/>
          <w:szCs w:val="36"/>
        </w:rPr>
      </w:pPr>
      <w:r>
        <w:rPr>
          <w:rFonts w:hint="eastAsia" w:ascii="宋体" w:hAnsi="宋体"/>
          <w:b/>
          <w:sz w:val="36"/>
          <w:szCs w:val="36"/>
          <w:lang w:val="en-US" w:eastAsia="zh-CN"/>
        </w:rPr>
        <w:t>江苏电子信息职业学院新媒体运营实训室装修项目工程量清单</w:t>
      </w:r>
      <w:r>
        <w:rPr>
          <w:rFonts w:hint="eastAsia" w:ascii="宋体" w:hAnsi="宋体"/>
          <w:b/>
          <w:sz w:val="36"/>
          <w:szCs w:val="36"/>
        </w:rPr>
        <w:t>编制说明</w:t>
      </w:r>
    </w:p>
    <w:p>
      <w:pPr>
        <w:spacing w:line="500" w:lineRule="exact"/>
        <w:ind w:left="465" w:leftChars="1" w:hanging="463" w:hangingChars="128"/>
        <w:jc w:val="center"/>
        <w:rPr>
          <w:rFonts w:ascii="宋体" w:hAnsi="宋体"/>
          <w:b/>
          <w:sz w:val="36"/>
          <w:szCs w:val="36"/>
        </w:rPr>
      </w:pPr>
    </w:p>
    <w:p>
      <w:pPr>
        <w:pStyle w:val="11"/>
        <w:spacing w:line="360" w:lineRule="auto"/>
        <w:ind w:firstLine="0" w:firstLineChars="0"/>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一、项目概况：</w:t>
      </w:r>
    </w:p>
    <w:p>
      <w:pPr>
        <w:spacing w:line="360" w:lineRule="auto"/>
        <w:ind w:firstLine="480" w:firstLineChars="200"/>
        <w:jc w:val="left"/>
        <w:rPr>
          <w:rFonts w:cs="Times New Roman" w:asciiTheme="majorEastAsia" w:hAnsiTheme="majorEastAsia" w:eastAsiaTheme="majorEastAsia"/>
          <w:kern w:val="0"/>
          <w:sz w:val="24"/>
          <w:szCs w:val="24"/>
        </w:rPr>
      </w:pPr>
      <w:r>
        <w:rPr>
          <w:rFonts w:hint="eastAsia" w:asciiTheme="majorEastAsia" w:hAnsiTheme="majorEastAsia" w:eastAsiaTheme="majorEastAsia"/>
          <w:sz w:val="24"/>
          <w:szCs w:val="24"/>
        </w:rPr>
        <w:t>1、</w:t>
      </w:r>
      <w:r>
        <w:rPr>
          <w:rFonts w:hint="eastAsia" w:cs="Times New Roman" w:asciiTheme="majorEastAsia" w:hAnsiTheme="majorEastAsia" w:eastAsiaTheme="majorEastAsia"/>
          <w:kern w:val="0"/>
          <w:sz w:val="24"/>
          <w:szCs w:val="24"/>
        </w:rPr>
        <w:t>项目名称</w:t>
      </w:r>
      <w:r>
        <w:rPr>
          <w:rFonts w:hint="eastAsia" w:cs="Times New Roman" w:asciiTheme="majorEastAsia" w:hAnsiTheme="majorEastAsia" w:eastAsiaTheme="majorEastAsia"/>
          <w:kern w:val="0"/>
          <w:sz w:val="24"/>
          <w:szCs w:val="24"/>
          <w:lang w:eastAsia="zh-CN"/>
        </w:rPr>
        <w:t>：</w:t>
      </w:r>
      <w:r>
        <w:rPr>
          <w:rFonts w:hint="eastAsia" w:cs="Times New Roman" w:asciiTheme="majorEastAsia" w:hAnsiTheme="majorEastAsia" w:eastAsiaTheme="majorEastAsia"/>
          <w:kern w:val="0"/>
          <w:sz w:val="24"/>
          <w:szCs w:val="24"/>
          <w:lang w:val="en-US" w:eastAsia="zh-CN"/>
        </w:rPr>
        <w:t>江苏电子信息职业学院新媒体运营实训室装修项目</w:t>
      </w:r>
      <w:r>
        <w:rPr>
          <w:rFonts w:hint="eastAsia" w:cs="Times New Roman" w:asciiTheme="majorEastAsia" w:hAnsiTheme="majorEastAsia" w:eastAsiaTheme="majorEastAsia"/>
          <w:kern w:val="0"/>
          <w:sz w:val="24"/>
          <w:szCs w:val="24"/>
          <w:lang w:eastAsia="zh-CN"/>
        </w:rPr>
        <w:t xml:space="preserve"> </w:t>
      </w:r>
    </w:p>
    <w:p>
      <w:pPr>
        <w:tabs>
          <w:tab w:val="left" w:pos="2581"/>
        </w:tabs>
        <w:spacing w:line="360" w:lineRule="auto"/>
        <w:ind w:firstLine="480" w:firstLineChars="200"/>
        <w:jc w:val="left"/>
        <w:rPr>
          <w:rFonts w:hint="eastAsia" w:ascii="宋体" w:hAnsi="宋体" w:cs="宋体"/>
          <w:color w:val="000000"/>
          <w:kern w:val="0"/>
          <w:sz w:val="24"/>
          <w:szCs w:val="24"/>
          <w:u w:val="none"/>
          <w:lang w:eastAsia="zh-CN"/>
        </w:rPr>
      </w:pPr>
      <w:r>
        <w:rPr>
          <w:rFonts w:hint="eastAsia" w:cs="Times New Roman" w:asciiTheme="majorEastAsia" w:hAnsiTheme="majorEastAsia" w:eastAsiaTheme="majorEastAsia"/>
          <w:kern w:val="0"/>
          <w:sz w:val="24"/>
          <w:szCs w:val="24"/>
        </w:rPr>
        <w:t>2、工程范围</w:t>
      </w:r>
      <w:r>
        <w:rPr>
          <w:rFonts w:hint="eastAsia" w:cs="Times New Roman" w:asciiTheme="majorEastAsia" w:hAnsiTheme="majorEastAsia" w:eastAsiaTheme="majorEastAsia"/>
          <w:kern w:val="0"/>
          <w:sz w:val="24"/>
          <w:szCs w:val="24"/>
          <w:lang w:eastAsia="zh-CN"/>
        </w:rPr>
        <w:t>：新媒体运营实训室</w:t>
      </w:r>
      <w:r>
        <w:rPr>
          <w:rFonts w:hint="eastAsia" w:cs="Times New Roman" w:asciiTheme="majorEastAsia" w:hAnsiTheme="majorEastAsia" w:eastAsiaTheme="majorEastAsia"/>
          <w:kern w:val="0"/>
          <w:sz w:val="24"/>
          <w:szCs w:val="24"/>
          <w:lang w:val="en-US" w:eastAsia="zh-CN"/>
        </w:rPr>
        <w:t>的装饰装修</w:t>
      </w:r>
    </w:p>
    <w:p>
      <w:pPr>
        <w:spacing w:line="360" w:lineRule="auto"/>
        <w:jc w:val="left"/>
        <w:rPr>
          <w:rFonts w:asciiTheme="majorEastAsia" w:hAnsiTheme="majorEastAsia" w:eastAsiaTheme="majorEastAsia"/>
          <w:b/>
          <w:sz w:val="24"/>
          <w:szCs w:val="24"/>
        </w:rPr>
      </w:pPr>
      <w:r>
        <w:rPr>
          <w:rFonts w:hint="eastAsia" w:asciiTheme="majorEastAsia" w:hAnsiTheme="majorEastAsia" w:eastAsiaTheme="majorEastAsia"/>
          <w:b/>
          <w:sz w:val="24"/>
          <w:szCs w:val="24"/>
        </w:rPr>
        <w:t>二、编制依据：</w:t>
      </w:r>
    </w:p>
    <w:p>
      <w:pPr>
        <w:pStyle w:val="14"/>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Theme="majorEastAsia" w:hAnsiTheme="majorEastAsia" w:eastAsiaTheme="majorEastAsia"/>
          <w:sz w:val="24"/>
          <w:szCs w:val="24"/>
          <w:lang w:eastAsia="zh-CN"/>
        </w:rPr>
      </w:pPr>
      <w:r>
        <w:rPr>
          <w:rFonts w:hint="eastAsia" w:asciiTheme="majorEastAsia" w:hAnsiTheme="majorEastAsia" w:eastAsiaTheme="majorEastAsia"/>
          <w:sz w:val="24"/>
          <w:szCs w:val="24"/>
        </w:rPr>
        <w:t>1、清单与定额：《建设工程工程量清单计价规范》（GB50500-2013）、套用2014年《江苏省建筑与装饰工程计价定额》</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2009年《江苏省房屋修缮工程定额》</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rPr>
        <w:t>2014年《江苏省建设工程费用定额》；江苏省住房和城乡建设厅文件：苏建价（201</w:t>
      </w:r>
      <w:r>
        <w:rPr>
          <w:rFonts w:hint="eastAsia" w:asciiTheme="majorEastAsia" w:hAnsiTheme="majorEastAsia" w:eastAsiaTheme="majorEastAsia"/>
          <w:sz w:val="24"/>
          <w:szCs w:val="24"/>
          <w:lang w:val="en-US" w:eastAsia="zh-CN"/>
        </w:rPr>
        <w:t>9</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178</w:t>
      </w:r>
      <w:r>
        <w:rPr>
          <w:rFonts w:hint="eastAsia" w:asciiTheme="majorEastAsia" w:hAnsiTheme="majorEastAsia" w:eastAsiaTheme="majorEastAsia"/>
          <w:sz w:val="24"/>
          <w:szCs w:val="24"/>
        </w:rPr>
        <w:t>号</w:t>
      </w:r>
      <w:r>
        <w:rPr>
          <w:rFonts w:hint="eastAsia" w:asciiTheme="majorEastAsia" w:hAnsiTheme="majorEastAsia" w:eastAsiaTheme="majorEastAsia"/>
          <w:sz w:val="24"/>
          <w:szCs w:val="24"/>
          <w:lang w:eastAsia="zh-CN"/>
        </w:rPr>
        <w:t>；</w:t>
      </w:r>
    </w:p>
    <w:p>
      <w:pPr>
        <w:pStyle w:val="14"/>
        <w:spacing w:line="360" w:lineRule="auto"/>
        <w:rPr>
          <w:rFonts w:hint="eastAsia" w:asciiTheme="majorEastAsia" w:hAnsiTheme="majorEastAsia" w:eastAsiaTheme="majorEastAsia"/>
          <w:sz w:val="24"/>
          <w:szCs w:val="24"/>
          <w:lang w:eastAsia="zh-CN"/>
        </w:rPr>
      </w:pPr>
      <w:r>
        <w:rPr>
          <w:rFonts w:asciiTheme="majorEastAsia" w:hAnsiTheme="majorEastAsia" w:eastAsiaTheme="majorEastAsia"/>
          <w:sz w:val="24"/>
          <w:szCs w:val="24"/>
        </w:rPr>
        <w:t xml:space="preserve">    2</w:t>
      </w:r>
      <w:r>
        <w:rPr>
          <w:rFonts w:hint="eastAsia" w:asciiTheme="majorEastAsia" w:hAnsiTheme="majorEastAsia" w:eastAsiaTheme="majorEastAsia"/>
          <w:sz w:val="24"/>
          <w:szCs w:val="24"/>
        </w:rPr>
        <w:t>、</w:t>
      </w:r>
      <w:r>
        <w:rPr>
          <w:rFonts w:asciiTheme="majorEastAsia" w:hAnsiTheme="majorEastAsia" w:eastAsiaTheme="majorEastAsia"/>
          <w:sz w:val="24"/>
          <w:szCs w:val="24"/>
        </w:rPr>
        <w:t>工程类别：</w:t>
      </w:r>
      <w:r>
        <w:rPr>
          <w:rFonts w:hint="eastAsia" w:asciiTheme="majorEastAsia" w:hAnsiTheme="majorEastAsia" w:eastAsiaTheme="majorEastAsia"/>
          <w:sz w:val="24"/>
          <w:szCs w:val="24"/>
          <w:lang w:eastAsia="zh-CN"/>
        </w:rPr>
        <w:t>单独装饰工程、安装工程；</w:t>
      </w:r>
    </w:p>
    <w:p>
      <w:pPr>
        <w:pStyle w:val="2"/>
        <w:tabs>
          <w:tab w:val="left" w:pos="525"/>
        </w:tabs>
        <w:spacing w:line="360" w:lineRule="auto"/>
        <w:ind w:firstLine="480" w:firstLineChars="200"/>
        <w:rPr>
          <w:rFonts w:hint="eastAsia" w:asciiTheme="majorEastAsia" w:hAnsiTheme="majorEastAsia" w:eastAsiaTheme="majorEastAsia"/>
          <w:sz w:val="24"/>
          <w:szCs w:val="24"/>
          <w:lang w:eastAsia="zh-CN"/>
        </w:rPr>
      </w:pPr>
      <w:r>
        <w:rPr>
          <w:rFonts w:asciiTheme="majorEastAsia" w:hAnsiTheme="majorEastAsia" w:eastAsiaTheme="majorEastAsia"/>
          <w:sz w:val="24"/>
          <w:szCs w:val="24"/>
        </w:rPr>
        <w:t>3</w:t>
      </w:r>
      <w:r>
        <w:rPr>
          <w:rFonts w:hint="eastAsia" w:asciiTheme="majorEastAsia" w:hAnsiTheme="majorEastAsia" w:eastAsiaTheme="majorEastAsia"/>
          <w:sz w:val="24"/>
          <w:szCs w:val="24"/>
        </w:rPr>
        <w:t>、图纸、资料及规范</w:t>
      </w:r>
      <w:r>
        <w:rPr>
          <w:rFonts w:asciiTheme="majorEastAsia" w:hAnsiTheme="majorEastAsia" w:eastAsiaTheme="majorEastAsia"/>
          <w:sz w:val="24"/>
          <w:szCs w:val="24"/>
        </w:rPr>
        <w:t>：根据</w:t>
      </w:r>
      <w:r>
        <w:rPr>
          <w:rFonts w:hint="eastAsia" w:asciiTheme="majorEastAsia" w:hAnsiTheme="majorEastAsia" w:eastAsiaTheme="majorEastAsia"/>
          <w:sz w:val="24"/>
          <w:szCs w:val="24"/>
          <w:lang w:eastAsia="zh-CN"/>
        </w:rPr>
        <w:t>甲方提供的设计图纸、结合现场情况、</w:t>
      </w:r>
      <w:r>
        <w:rPr>
          <w:rFonts w:hint="eastAsia" w:asciiTheme="majorEastAsia" w:hAnsiTheme="majorEastAsia" w:eastAsiaTheme="majorEastAsia"/>
          <w:sz w:val="24"/>
          <w:szCs w:val="24"/>
        </w:rPr>
        <w:t>相关规范、资料</w:t>
      </w:r>
      <w:r>
        <w:rPr>
          <w:rFonts w:hint="eastAsia" w:asciiTheme="majorEastAsia" w:hAnsiTheme="majorEastAsia" w:eastAsiaTheme="majorEastAsia"/>
          <w:sz w:val="24"/>
          <w:szCs w:val="24"/>
          <w:lang w:eastAsia="zh-CN"/>
        </w:rPr>
        <w:t>及甲方要求等；</w:t>
      </w:r>
    </w:p>
    <w:p>
      <w:pPr>
        <w:pStyle w:val="2"/>
        <w:tabs>
          <w:tab w:val="left" w:pos="525"/>
        </w:tabs>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4</w:t>
      </w:r>
      <w:r>
        <w:rPr>
          <w:rFonts w:hint="eastAsia" w:asciiTheme="majorEastAsia" w:hAnsiTheme="majorEastAsia" w:eastAsiaTheme="majorEastAsia"/>
          <w:sz w:val="24"/>
          <w:szCs w:val="24"/>
        </w:rPr>
        <w:t>、按江苏省现行相关计价规范及费率标准计取：</w:t>
      </w:r>
    </w:p>
    <w:p>
      <w:pPr>
        <w:pStyle w:val="2"/>
        <w:keepNext w:val="0"/>
        <w:keepLines w:val="0"/>
        <w:pageBreakBefore w:val="0"/>
        <w:widowControl w:val="0"/>
        <w:numPr>
          <w:ilvl w:val="0"/>
          <w:numId w:val="1"/>
        </w:numPr>
        <w:tabs>
          <w:tab w:val="left" w:pos="525"/>
        </w:tabs>
        <w:kinsoku/>
        <w:wordWrap/>
        <w:overflowPunct/>
        <w:topLinePunct w:val="0"/>
        <w:autoSpaceDE/>
        <w:autoSpaceDN/>
        <w:bidi w:val="0"/>
        <w:adjustRightInd/>
        <w:snapToGrid/>
        <w:spacing w:line="360" w:lineRule="auto"/>
        <w:ind w:left="0" w:firstLine="480" w:firstLineChars="200"/>
        <w:textAlignment w:val="auto"/>
        <w:outlineLvl w:val="9"/>
        <w:rPr>
          <w:rFonts w:asciiTheme="majorEastAsia" w:hAnsiTheme="majorEastAsia" w:eastAsiaTheme="majorEastAsia"/>
          <w:sz w:val="24"/>
          <w:szCs w:val="24"/>
        </w:rPr>
      </w:pPr>
      <w:bookmarkStart w:id="0" w:name="OLE_LINK10"/>
      <w:r>
        <w:rPr>
          <w:rFonts w:hint="eastAsia" w:asciiTheme="majorEastAsia" w:hAnsiTheme="majorEastAsia" w:eastAsiaTheme="majorEastAsia"/>
          <w:sz w:val="24"/>
          <w:szCs w:val="24"/>
        </w:rPr>
        <w:t>安全文明施工费基本费：</w:t>
      </w:r>
      <w:r>
        <w:rPr>
          <w:rFonts w:hint="eastAsia" w:asciiTheme="majorEastAsia" w:hAnsiTheme="majorEastAsia" w:eastAsiaTheme="majorEastAsia"/>
          <w:sz w:val="24"/>
          <w:szCs w:val="24"/>
          <w:lang w:eastAsia="zh-CN"/>
        </w:rPr>
        <w:t>装饰</w:t>
      </w:r>
      <w:r>
        <w:rPr>
          <w:rFonts w:hint="eastAsia" w:asciiTheme="majorEastAsia" w:hAnsiTheme="majorEastAsia" w:eastAsiaTheme="majorEastAsia"/>
          <w:sz w:val="24"/>
          <w:szCs w:val="24"/>
          <w:lang w:val="en-US" w:eastAsia="zh-CN"/>
        </w:rPr>
        <w:t>1.7%、安装1.5%</w:t>
      </w:r>
      <w:r>
        <w:rPr>
          <w:rFonts w:hint="eastAsia" w:asciiTheme="majorEastAsia" w:hAnsiTheme="majorEastAsia" w:eastAsiaTheme="majorEastAsia"/>
          <w:sz w:val="24"/>
          <w:szCs w:val="24"/>
        </w:rPr>
        <w:t>；</w:t>
      </w:r>
    </w:p>
    <w:p>
      <w:pPr>
        <w:pStyle w:val="2"/>
        <w:keepNext w:val="0"/>
        <w:keepLines w:val="0"/>
        <w:pageBreakBefore w:val="0"/>
        <w:widowControl w:val="0"/>
        <w:numPr>
          <w:ilvl w:val="0"/>
          <w:numId w:val="1"/>
        </w:numPr>
        <w:tabs>
          <w:tab w:val="left" w:pos="525"/>
        </w:tabs>
        <w:kinsoku/>
        <w:wordWrap/>
        <w:overflowPunct/>
        <w:topLinePunct w:val="0"/>
        <w:autoSpaceDE/>
        <w:autoSpaceDN/>
        <w:bidi w:val="0"/>
        <w:adjustRightInd/>
        <w:snapToGrid/>
        <w:spacing w:line="360" w:lineRule="auto"/>
        <w:ind w:left="0" w:firstLine="480" w:firstLineChars="20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扬尘污染防治增加费：装饰</w:t>
      </w:r>
      <w:r>
        <w:rPr>
          <w:rFonts w:hint="eastAsia" w:asciiTheme="majorEastAsia" w:hAnsiTheme="majorEastAsia" w:eastAsiaTheme="majorEastAsia"/>
          <w:sz w:val="24"/>
          <w:szCs w:val="24"/>
          <w:lang w:val="en-US" w:eastAsia="zh-CN"/>
        </w:rPr>
        <w:t>0.22%、安装0.21%；</w:t>
      </w:r>
    </w:p>
    <w:p>
      <w:pPr>
        <w:pStyle w:val="2"/>
        <w:keepNext w:val="0"/>
        <w:keepLines w:val="0"/>
        <w:pageBreakBefore w:val="0"/>
        <w:widowControl w:val="0"/>
        <w:numPr>
          <w:ilvl w:val="0"/>
          <w:numId w:val="1"/>
        </w:numPr>
        <w:tabs>
          <w:tab w:val="left" w:pos="525"/>
        </w:tabs>
        <w:kinsoku/>
        <w:wordWrap/>
        <w:overflowPunct/>
        <w:topLinePunct w:val="0"/>
        <w:autoSpaceDE/>
        <w:autoSpaceDN/>
        <w:bidi w:val="0"/>
        <w:adjustRightInd/>
        <w:snapToGrid/>
        <w:spacing w:line="360" w:lineRule="auto"/>
        <w:ind w:left="0" w:firstLine="480" w:firstLineChars="20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规费</w:t>
      </w:r>
      <w:r>
        <w:rPr>
          <w:rFonts w:hint="eastAsia" w:asciiTheme="majorEastAsia" w:hAnsiTheme="majorEastAsia" w:eastAsiaTheme="majorEastAsia"/>
          <w:sz w:val="24"/>
          <w:szCs w:val="24"/>
        </w:rPr>
        <w:t>：</w:t>
      </w:r>
      <w:r>
        <w:rPr>
          <w:rFonts w:hint="eastAsia" w:asciiTheme="majorEastAsia" w:hAnsiTheme="majorEastAsia" w:eastAsiaTheme="majorEastAsia"/>
          <w:sz w:val="24"/>
          <w:szCs w:val="24"/>
          <w:lang w:eastAsia="zh-CN"/>
        </w:rPr>
        <w:t>社会保险费：</w:t>
      </w:r>
      <w:r>
        <w:rPr>
          <w:rFonts w:hint="eastAsia" w:asciiTheme="majorEastAsia" w:hAnsiTheme="majorEastAsia" w:eastAsiaTheme="majorEastAsia"/>
          <w:sz w:val="24"/>
          <w:szCs w:val="24"/>
          <w:lang w:val="en-US" w:eastAsia="zh-CN"/>
        </w:rPr>
        <w:t>2.4%，住房公积金：0.42%，环境保护税</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sz w:val="24"/>
          <w:szCs w:val="24"/>
          <w:lang w:val="en-US" w:eastAsia="zh-CN"/>
        </w:rPr>
        <w:t>0.1%</w:t>
      </w:r>
      <w:r>
        <w:rPr>
          <w:rFonts w:hint="eastAsia" w:asciiTheme="majorEastAsia" w:hAnsiTheme="majorEastAsia" w:eastAsiaTheme="majorEastAsia"/>
          <w:sz w:val="24"/>
          <w:szCs w:val="24"/>
        </w:rPr>
        <w:t>；</w:t>
      </w:r>
    </w:p>
    <w:p>
      <w:pPr>
        <w:pStyle w:val="2"/>
        <w:keepNext w:val="0"/>
        <w:keepLines w:val="0"/>
        <w:pageBreakBefore w:val="0"/>
        <w:widowControl w:val="0"/>
        <w:numPr>
          <w:ilvl w:val="0"/>
          <w:numId w:val="1"/>
        </w:numPr>
        <w:tabs>
          <w:tab w:val="left" w:pos="525"/>
        </w:tabs>
        <w:kinsoku/>
        <w:wordWrap/>
        <w:overflowPunct/>
        <w:topLinePunct w:val="0"/>
        <w:autoSpaceDE/>
        <w:autoSpaceDN/>
        <w:bidi w:val="0"/>
        <w:adjustRightInd/>
        <w:snapToGrid/>
        <w:spacing w:line="360" w:lineRule="auto"/>
        <w:ind w:left="0" w:firstLine="480" w:firstLineChars="200"/>
        <w:textAlignment w:val="auto"/>
        <w:outlineLvl w:val="9"/>
        <w:rPr>
          <w:rFonts w:asciiTheme="majorEastAsia" w:hAnsiTheme="majorEastAsia" w:eastAsiaTheme="majorEastAsia"/>
          <w:sz w:val="24"/>
          <w:szCs w:val="24"/>
        </w:rPr>
      </w:pPr>
      <w:r>
        <w:rPr>
          <w:rFonts w:hint="eastAsia" w:asciiTheme="majorEastAsia" w:hAnsiTheme="majorEastAsia" w:eastAsiaTheme="majorEastAsia"/>
          <w:sz w:val="24"/>
          <w:szCs w:val="24"/>
          <w:lang w:eastAsia="zh-CN"/>
        </w:rPr>
        <w:t>税金：</w:t>
      </w:r>
      <w:r>
        <w:rPr>
          <w:rFonts w:hint="eastAsia" w:asciiTheme="majorEastAsia" w:hAnsiTheme="majorEastAsia" w:eastAsiaTheme="majorEastAsia"/>
          <w:sz w:val="24"/>
          <w:szCs w:val="24"/>
          <w:lang w:val="en-US" w:eastAsia="zh-CN"/>
        </w:rPr>
        <w:t>9%。</w:t>
      </w:r>
      <w:bookmarkEnd w:id="0"/>
    </w:p>
    <w:p>
      <w:pPr>
        <w:pStyle w:val="2"/>
        <w:tabs>
          <w:tab w:val="left" w:pos="525"/>
        </w:tabs>
        <w:spacing w:line="360"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三</w:t>
      </w:r>
      <w:r>
        <w:rPr>
          <w:rFonts w:asciiTheme="majorEastAsia" w:hAnsiTheme="majorEastAsia" w:eastAsiaTheme="majorEastAsia"/>
          <w:b/>
          <w:sz w:val="24"/>
          <w:szCs w:val="24"/>
        </w:rPr>
        <w:t>、编制范围</w:t>
      </w:r>
    </w:p>
    <w:p>
      <w:pPr>
        <w:tabs>
          <w:tab w:val="left" w:pos="2581"/>
        </w:tabs>
        <w:spacing w:line="360" w:lineRule="auto"/>
        <w:ind w:firstLine="480" w:firstLineChars="200"/>
        <w:jc w:val="left"/>
        <w:rPr>
          <w:rFonts w:hint="eastAsia" w:asciiTheme="majorEastAsia" w:hAnsiTheme="majorEastAsia" w:eastAsiaTheme="majorEastAsia" w:cstheme="majorEastAsia"/>
          <w:sz w:val="24"/>
          <w:szCs w:val="24"/>
          <w:u w:val="none"/>
          <w:lang w:eastAsia="zh-CN"/>
        </w:rPr>
      </w:pPr>
      <w:r>
        <w:rPr>
          <w:rFonts w:hint="eastAsia" w:cs="Times New Roman" w:asciiTheme="majorEastAsia" w:hAnsiTheme="majorEastAsia" w:eastAsiaTheme="majorEastAsia"/>
          <w:kern w:val="0"/>
          <w:sz w:val="24"/>
          <w:szCs w:val="24"/>
          <w:lang w:eastAsia="zh-CN"/>
        </w:rPr>
        <w:t>新媒体运营实训室</w:t>
      </w:r>
      <w:bookmarkStart w:id="1" w:name="_GoBack"/>
      <w:bookmarkEnd w:id="1"/>
      <w:r>
        <w:rPr>
          <w:rFonts w:hint="eastAsia" w:cs="Times New Roman" w:asciiTheme="majorEastAsia" w:hAnsiTheme="majorEastAsia" w:eastAsiaTheme="majorEastAsia"/>
          <w:kern w:val="0"/>
          <w:sz w:val="24"/>
          <w:szCs w:val="24"/>
          <w:lang w:val="en-US" w:eastAsia="zh-CN"/>
        </w:rPr>
        <w:t>的装饰装修</w:t>
      </w:r>
      <w:r>
        <w:rPr>
          <w:rFonts w:hint="eastAsia" w:asciiTheme="majorEastAsia" w:hAnsiTheme="majorEastAsia" w:eastAsiaTheme="majorEastAsia" w:cstheme="majorEastAsia"/>
          <w:color w:val="000000"/>
          <w:kern w:val="0"/>
          <w:sz w:val="24"/>
          <w:szCs w:val="24"/>
          <w:u w:val="none"/>
        </w:rPr>
        <w:t>（具体详见工程清单</w:t>
      </w:r>
      <w:r>
        <w:rPr>
          <w:rFonts w:hint="eastAsia" w:asciiTheme="majorEastAsia" w:hAnsiTheme="majorEastAsia" w:eastAsiaTheme="majorEastAsia" w:cstheme="majorEastAsia"/>
          <w:color w:val="000000"/>
          <w:kern w:val="0"/>
          <w:sz w:val="24"/>
          <w:szCs w:val="24"/>
          <w:u w:val="none"/>
          <w:lang w:eastAsia="zh-CN"/>
        </w:rPr>
        <w:t>）。</w:t>
      </w:r>
    </w:p>
    <w:p>
      <w:pPr>
        <w:pStyle w:val="2"/>
        <w:tabs>
          <w:tab w:val="left" w:pos="525"/>
        </w:tabs>
        <w:spacing w:line="360" w:lineRule="auto"/>
        <w:rPr>
          <w:b/>
          <w:sz w:val="24"/>
          <w:szCs w:val="24"/>
        </w:rPr>
      </w:pPr>
      <w:r>
        <w:rPr>
          <w:rFonts w:hint="eastAsia"/>
          <w:b/>
          <w:sz w:val="24"/>
          <w:szCs w:val="24"/>
        </w:rPr>
        <w:t>四</w:t>
      </w:r>
      <w:r>
        <w:rPr>
          <w:b/>
          <w:sz w:val="24"/>
          <w:szCs w:val="24"/>
        </w:rPr>
        <w:t>、其他说明</w:t>
      </w:r>
    </w:p>
    <w:p>
      <w:pPr>
        <w:pStyle w:val="2"/>
        <w:numPr>
          <w:ilvl w:val="0"/>
          <w:numId w:val="0"/>
        </w:numPr>
        <w:tabs>
          <w:tab w:val="left" w:pos="525"/>
        </w:tabs>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1、</w:t>
      </w:r>
      <w:r>
        <w:rPr>
          <w:rFonts w:hint="eastAsia" w:asciiTheme="majorEastAsia" w:hAnsiTheme="majorEastAsia" w:eastAsiaTheme="majorEastAsia"/>
          <w:sz w:val="24"/>
          <w:szCs w:val="24"/>
        </w:rPr>
        <w:t>对于工程量清单中“项目特征”描述，只是对该部分分项工程特征的概述，而非工程特征的全面描述，计价时必须同时考虑设计图纸及相关国家规范要求。</w:t>
      </w:r>
    </w:p>
    <w:p>
      <w:pPr>
        <w:pStyle w:val="15"/>
        <w:spacing w:line="360" w:lineRule="auto"/>
        <w:ind w:firstLine="480" w:firstLineChars="200"/>
        <w:jc w:val="left"/>
        <w:rPr>
          <w:rFonts w:hint="default"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sz w:val="24"/>
          <w:szCs w:val="24"/>
          <w:lang w:val="en-US" w:eastAsia="zh-CN"/>
        </w:rPr>
        <w:t>2、</w:t>
      </w:r>
      <w:r>
        <w:rPr>
          <w:rFonts w:hint="eastAsia" w:asciiTheme="majorEastAsia" w:hAnsiTheme="majorEastAsia" w:eastAsiaTheme="majorEastAsia" w:cstheme="minorBidi"/>
          <w:kern w:val="2"/>
          <w:sz w:val="24"/>
          <w:szCs w:val="24"/>
          <w:lang w:val="en-US" w:eastAsia="zh-CN" w:bidi="ar-SA"/>
        </w:rPr>
        <w:t>投标人须踏勘现场，在投标报价中充分考虑施工现场可能出现的一切可能影响施工而发生的费用，在报标报价时均须综合考虑并包含在投标报价中，结算时一律不予增加。</w:t>
      </w:r>
    </w:p>
    <w:p>
      <w:pPr>
        <w:pStyle w:val="15"/>
        <w:numPr>
          <w:ilvl w:val="0"/>
          <w:numId w:val="0"/>
        </w:numPr>
        <w:spacing w:line="360" w:lineRule="auto"/>
        <w:ind w:firstLine="480" w:firstLineChars="200"/>
        <w:jc w:val="left"/>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3、现场拆除垃圾清运，运距自行考虑，报价考虑在综合单价内，不另外计取。</w:t>
      </w:r>
    </w:p>
    <w:p>
      <w:pPr>
        <w:pStyle w:val="2"/>
        <w:numPr>
          <w:ilvl w:val="0"/>
          <w:numId w:val="0"/>
        </w:numPr>
        <w:tabs>
          <w:tab w:val="left" w:pos="525"/>
        </w:tabs>
        <w:spacing w:line="360" w:lineRule="auto"/>
        <w:ind w:firstLine="480" w:firstLineChars="200"/>
        <w:rPr>
          <w:rFonts w:hint="eastAsia" w:asciiTheme="majorEastAsia" w:hAnsiTheme="majorEastAsia" w:eastAsiaTheme="majorEastAsia" w:cstheme="minorBidi"/>
          <w:kern w:val="2"/>
          <w:sz w:val="24"/>
          <w:szCs w:val="24"/>
          <w:lang w:val="en-US" w:eastAsia="zh-CN" w:bidi="ar-SA"/>
        </w:rPr>
      </w:pPr>
      <w:r>
        <w:rPr>
          <w:rFonts w:hint="eastAsia" w:asciiTheme="majorEastAsia" w:hAnsiTheme="majorEastAsia" w:eastAsiaTheme="majorEastAsia" w:cstheme="minorBidi"/>
          <w:kern w:val="2"/>
          <w:sz w:val="24"/>
          <w:szCs w:val="24"/>
          <w:lang w:val="en-US" w:eastAsia="zh-CN" w:bidi="ar-SA"/>
        </w:rPr>
        <w:t>4、脚手架等费用施工单位自主报价，按项计取，后期不作调整。</w:t>
      </w:r>
    </w:p>
    <w:p>
      <w:pPr>
        <w:pStyle w:val="2"/>
        <w:numPr>
          <w:ilvl w:val="0"/>
          <w:numId w:val="0"/>
        </w:numPr>
        <w:tabs>
          <w:tab w:val="left" w:pos="525"/>
        </w:tabs>
        <w:spacing w:line="36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5、</w:t>
      </w:r>
      <w:r>
        <w:rPr>
          <w:rFonts w:hint="eastAsia" w:asciiTheme="majorEastAsia" w:hAnsiTheme="majorEastAsia" w:eastAsiaTheme="majorEastAsia"/>
          <w:sz w:val="24"/>
          <w:szCs w:val="24"/>
        </w:rPr>
        <w:t>未施工部位做好</w:t>
      </w:r>
      <w:r>
        <w:rPr>
          <w:rFonts w:hint="eastAsia" w:asciiTheme="majorEastAsia" w:hAnsiTheme="majorEastAsia" w:eastAsiaTheme="majorEastAsia"/>
          <w:sz w:val="24"/>
          <w:szCs w:val="24"/>
          <w:lang w:eastAsia="zh-CN"/>
        </w:rPr>
        <w:t>成品</w:t>
      </w:r>
      <w:r>
        <w:rPr>
          <w:rFonts w:hint="eastAsia" w:asciiTheme="majorEastAsia" w:hAnsiTheme="majorEastAsia" w:eastAsiaTheme="majorEastAsia"/>
          <w:sz w:val="24"/>
          <w:szCs w:val="24"/>
        </w:rPr>
        <w:t>保护工作，如有损毁，施工单位自行恢复，结算时不增加任何费用。</w:t>
      </w:r>
    </w:p>
    <w:p>
      <w:pPr>
        <w:pStyle w:val="2"/>
        <w:numPr>
          <w:ilvl w:val="0"/>
          <w:numId w:val="0"/>
        </w:numPr>
        <w:tabs>
          <w:tab w:val="left" w:pos="525"/>
        </w:tabs>
        <w:spacing w:line="360" w:lineRule="auto"/>
        <w:ind w:firstLine="480" w:firstLineChars="200"/>
        <w:rPr>
          <w:rFonts w:hint="eastAsia" w:asciiTheme="majorEastAsia" w:hAnsiTheme="majorEastAsia" w:eastAsiaTheme="majorEastAsia"/>
          <w:sz w:val="24"/>
          <w:szCs w:val="24"/>
        </w:rPr>
      </w:pPr>
      <w:r>
        <w:rPr>
          <w:rFonts w:hint="eastAsia" w:asciiTheme="majorEastAsia" w:hAnsiTheme="majorEastAsia" w:eastAsiaTheme="majorEastAsia"/>
          <w:sz w:val="24"/>
          <w:szCs w:val="24"/>
          <w:lang w:val="en-US" w:eastAsia="zh-CN"/>
        </w:rPr>
        <w:t>6、</w:t>
      </w:r>
      <w:r>
        <w:rPr>
          <w:rFonts w:hint="eastAsia" w:asciiTheme="majorEastAsia" w:hAnsiTheme="majorEastAsia" w:eastAsiaTheme="majorEastAsia"/>
          <w:sz w:val="24"/>
          <w:szCs w:val="24"/>
        </w:rPr>
        <w:t>施工结束后做好保洁工作，对现场因施工留有的污迹、垃圾及时清除。</w:t>
      </w:r>
    </w:p>
    <w:p>
      <w:pPr>
        <w:pStyle w:val="2"/>
        <w:numPr>
          <w:ilvl w:val="0"/>
          <w:numId w:val="0"/>
        </w:numPr>
        <w:tabs>
          <w:tab w:val="left" w:pos="525"/>
        </w:tabs>
        <w:spacing w:line="360" w:lineRule="auto"/>
        <w:ind w:firstLine="480" w:firstLineChars="200"/>
        <w:rPr>
          <w:rFonts w:hint="eastAsia" w:asciiTheme="majorEastAsia" w:hAnsiTheme="majorEastAsia" w:eastAsiaTheme="majorEastAsia"/>
          <w:sz w:val="24"/>
          <w:szCs w:val="24"/>
          <w:lang w:eastAsia="zh-CN"/>
        </w:rPr>
      </w:pPr>
    </w:p>
    <w:p>
      <w:pPr>
        <w:pStyle w:val="5"/>
        <w:keepNext w:val="0"/>
        <w:keepLines w:val="0"/>
        <w:widowControl/>
        <w:suppressLineNumbers w:val="0"/>
        <w:spacing w:before="0" w:beforeAutospacing="0" w:after="0" w:afterAutospacing="0"/>
        <w:ind w:left="0" w:right="0" w:firstLine="480" w:firstLineChars="200"/>
        <w:rPr>
          <w:rFonts w:hint="default"/>
          <w:lang w:val="en-US" w:eastAsia="zh-CN"/>
        </w:rPr>
      </w:pPr>
    </w:p>
    <w:p>
      <w:pPr>
        <w:pStyle w:val="5"/>
        <w:keepNext w:val="0"/>
        <w:keepLines w:val="0"/>
        <w:widowControl/>
        <w:suppressLineNumbers w:val="0"/>
        <w:spacing w:before="0" w:beforeAutospacing="0" w:after="0" w:afterAutospacing="0"/>
        <w:ind w:left="0" w:right="0" w:firstLine="480" w:firstLineChars="200"/>
        <w:rPr>
          <w:rFonts w:hint="default"/>
          <w:lang w:val="en-US" w:eastAsia="zh-CN"/>
        </w:rPr>
      </w:pPr>
    </w:p>
    <w:p>
      <w:pPr>
        <w:pStyle w:val="2"/>
        <w:numPr>
          <w:ilvl w:val="0"/>
          <w:numId w:val="0"/>
        </w:numPr>
        <w:tabs>
          <w:tab w:val="left" w:pos="525"/>
        </w:tabs>
        <w:spacing w:line="360" w:lineRule="auto"/>
        <w:rPr>
          <w:rFonts w:hint="eastAsia" w:asciiTheme="majorEastAsia" w:hAnsiTheme="majorEastAsia" w:eastAsiaTheme="majorEastAsia"/>
          <w:sz w:val="24"/>
          <w:szCs w:val="24"/>
          <w:lang w:val="en-US" w:eastAsia="zh-CN"/>
        </w:rPr>
      </w:pPr>
    </w:p>
    <w:p>
      <w:pPr>
        <w:spacing w:beforeLines="50"/>
        <w:ind w:right="560"/>
        <w:jc w:val="right"/>
        <w:rPr>
          <w:rFonts w:asciiTheme="majorEastAsia" w:hAnsiTheme="majorEastAsia" w:eastAsiaTheme="majorEastAsia"/>
          <w:b/>
          <w:sz w:val="24"/>
          <w:szCs w:val="24"/>
        </w:rPr>
      </w:pPr>
    </w:p>
    <w:p>
      <w:pPr>
        <w:spacing w:beforeLines="50"/>
        <w:ind w:right="560"/>
        <w:jc w:val="right"/>
        <w:rPr>
          <w:rFonts w:asciiTheme="majorEastAsia" w:hAnsiTheme="majorEastAsia" w:eastAsiaTheme="majorEastAsia"/>
          <w:b/>
          <w:sz w:val="24"/>
          <w:szCs w:val="24"/>
        </w:rPr>
      </w:pPr>
    </w:p>
    <w:p>
      <w:pPr>
        <w:spacing w:beforeLines="50"/>
        <w:ind w:right="560"/>
        <w:jc w:val="right"/>
        <w:rPr>
          <w:rFonts w:asciiTheme="majorEastAsia" w:hAnsiTheme="majorEastAsia" w:eastAsiaTheme="majorEastAsia"/>
          <w:b/>
          <w:sz w:val="24"/>
          <w:szCs w:val="24"/>
        </w:rPr>
      </w:pPr>
    </w:p>
    <w:p>
      <w:pPr>
        <w:spacing w:beforeLines="50"/>
        <w:ind w:right="560"/>
        <w:jc w:val="right"/>
        <w:rPr>
          <w:rFonts w:asciiTheme="majorEastAsia" w:hAnsiTheme="majorEastAsia" w:eastAsiaTheme="majorEastAsia"/>
          <w:b/>
          <w:sz w:val="24"/>
          <w:szCs w:val="24"/>
        </w:rPr>
      </w:pPr>
    </w:p>
    <w:p>
      <w:pPr>
        <w:spacing w:beforeLines="50"/>
        <w:ind w:right="560"/>
        <w:jc w:val="right"/>
        <w:rPr>
          <w:rFonts w:asciiTheme="majorEastAsia" w:hAnsiTheme="majorEastAsia" w:eastAsiaTheme="majorEastAsia"/>
          <w:b/>
          <w:sz w:val="24"/>
          <w:szCs w:val="24"/>
        </w:rPr>
      </w:pPr>
    </w:p>
    <w:p>
      <w:pPr>
        <w:spacing w:beforeLines="50"/>
        <w:ind w:right="560"/>
        <w:jc w:val="right"/>
        <w:rPr>
          <w:rFonts w:asciiTheme="majorEastAsia" w:hAnsiTheme="majorEastAsia" w:eastAsiaTheme="majorEastAsia"/>
          <w:b/>
          <w:sz w:val="24"/>
          <w:szCs w:val="24"/>
        </w:rPr>
      </w:pPr>
    </w:p>
    <w:p>
      <w:pPr>
        <w:spacing w:beforeLines="50"/>
        <w:ind w:right="560"/>
        <w:jc w:val="both"/>
        <w:rPr>
          <w:rFonts w:asciiTheme="majorEastAsia" w:hAnsiTheme="majorEastAsia" w:eastAsiaTheme="majorEastAsia"/>
          <w:b/>
          <w:sz w:val="24"/>
          <w:szCs w:val="24"/>
        </w:rPr>
      </w:pPr>
    </w:p>
    <w:p>
      <w:pPr>
        <w:spacing w:beforeLines="50"/>
        <w:ind w:right="560"/>
        <w:jc w:val="right"/>
        <w:rPr>
          <w:rFonts w:asciiTheme="majorEastAsia" w:hAnsiTheme="majorEastAsia" w:eastAsiaTheme="majorEastAsia"/>
          <w:b/>
          <w:sz w:val="24"/>
          <w:szCs w:val="24"/>
        </w:rPr>
      </w:pPr>
      <w:r>
        <w:rPr>
          <w:rFonts w:hint="eastAsia" w:asciiTheme="majorEastAsia" w:hAnsiTheme="majorEastAsia" w:eastAsiaTheme="majorEastAsia"/>
          <w:b/>
          <w:sz w:val="24"/>
          <w:szCs w:val="24"/>
        </w:rPr>
        <w:t>江苏建威建设管理有限公司</w:t>
      </w:r>
    </w:p>
    <w:p>
      <w:pPr>
        <w:spacing w:beforeLines="50"/>
        <w:ind w:right="1040"/>
        <w:jc w:val="right"/>
        <w:rPr>
          <w:rFonts w:asciiTheme="majorEastAsia" w:hAnsiTheme="majorEastAsia" w:eastAsiaTheme="majorEastAsia"/>
          <w:b/>
          <w:sz w:val="24"/>
          <w:szCs w:val="24"/>
        </w:rPr>
      </w:pPr>
      <w:r>
        <w:rPr>
          <w:rFonts w:hint="eastAsia" w:asciiTheme="majorEastAsia" w:hAnsiTheme="majorEastAsia" w:eastAsiaTheme="majorEastAsia"/>
          <w:b/>
          <w:sz w:val="24"/>
          <w:szCs w:val="24"/>
        </w:rPr>
        <w:t>2</w:t>
      </w:r>
      <w:r>
        <w:rPr>
          <w:rFonts w:asciiTheme="majorEastAsia" w:hAnsiTheme="majorEastAsia" w:eastAsiaTheme="majorEastAsia"/>
          <w:b/>
          <w:sz w:val="24"/>
          <w:szCs w:val="24"/>
        </w:rPr>
        <w:t>0</w:t>
      </w:r>
      <w:r>
        <w:rPr>
          <w:rFonts w:hint="eastAsia" w:asciiTheme="majorEastAsia" w:hAnsiTheme="majorEastAsia" w:eastAsiaTheme="majorEastAsia"/>
          <w:b/>
          <w:sz w:val="24"/>
          <w:szCs w:val="24"/>
          <w:lang w:val="en-US" w:eastAsia="zh-CN"/>
        </w:rPr>
        <w:t>21</w:t>
      </w:r>
      <w:r>
        <w:rPr>
          <w:rFonts w:hint="eastAsia" w:asciiTheme="majorEastAsia" w:hAnsiTheme="majorEastAsia" w:eastAsiaTheme="majorEastAsia"/>
          <w:b/>
          <w:sz w:val="24"/>
          <w:szCs w:val="24"/>
        </w:rPr>
        <w:t>年</w:t>
      </w:r>
      <w:r>
        <w:rPr>
          <w:rFonts w:hint="eastAsia" w:asciiTheme="majorEastAsia" w:hAnsiTheme="majorEastAsia" w:eastAsiaTheme="majorEastAsia"/>
          <w:b/>
          <w:sz w:val="24"/>
          <w:szCs w:val="24"/>
          <w:lang w:val="en-US" w:eastAsia="zh-CN"/>
        </w:rPr>
        <w:t>8</w:t>
      </w:r>
      <w:r>
        <w:rPr>
          <w:rFonts w:hint="eastAsia" w:asciiTheme="majorEastAsia" w:hAnsiTheme="majorEastAsia" w:eastAsiaTheme="majorEastAsia"/>
          <w:b/>
          <w:sz w:val="24"/>
          <w:szCs w:val="24"/>
        </w:rPr>
        <w:t>月</w:t>
      </w:r>
      <w:r>
        <w:rPr>
          <w:rFonts w:hint="eastAsia" w:asciiTheme="majorEastAsia" w:hAnsiTheme="majorEastAsia" w:eastAsiaTheme="majorEastAsia"/>
          <w:b/>
          <w:sz w:val="24"/>
          <w:szCs w:val="24"/>
          <w:lang w:val="en-US" w:eastAsia="zh-CN"/>
        </w:rPr>
        <w:t>11</w:t>
      </w:r>
      <w:r>
        <w:rPr>
          <w:rFonts w:hint="eastAsia" w:asciiTheme="majorEastAsia" w:hAnsiTheme="majorEastAsia" w:eastAsiaTheme="majorEastAsia"/>
          <w:b/>
          <w:sz w:val="24"/>
          <w:szCs w:val="24"/>
        </w:rPr>
        <w:t>日</w:t>
      </w:r>
    </w:p>
    <w:p>
      <w:pPr>
        <w:pStyle w:val="2"/>
        <w:tabs>
          <w:tab w:val="left" w:pos="525"/>
        </w:tabs>
        <w:ind w:left="720"/>
        <w:rPr>
          <w:rFonts w:asciiTheme="majorEastAsia" w:hAnsiTheme="majorEastAsia" w:eastAsiaTheme="majorEastAsia"/>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D229D6"/>
    <w:multiLevelType w:val="multilevel"/>
    <w:tmpl w:val="60D229D6"/>
    <w:lvl w:ilvl="0" w:tentative="0">
      <w:start w:val="1"/>
      <w:numFmt w:val="decimal"/>
      <w:lvlText w:val="（%1）"/>
      <w:lvlJc w:val="left"/>
      <w:pPr>
        <w:ind w:left="1287" w:hanging="72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D5A26"/>
    <w:rsid w:val="0000172F"/>
    <w:rsid w:val="00010394"/>
    <w:rsid w:val="000178EE"/>
    <w:rsid w:val="00031E93"/>
    <w:rsid w:val="00033827"/>
    <w:rsid w:val="0004702B"/>
    <w:rsid w:val="00061FC8"/>
    <w:rsid w:val="000713FD"/>
    <w:rsid w:val="0007401B"/>
    <w:rsid w:val="00092D13"/>
    <w:rsid w:val="00093396"/>
    <w:rsid w:val="000A7E38"/>
    <w:rsid w:val="000B4785"/>
    <w:rsid w:val="000B5137"/>
    <w:rsid w:val="000C35A9"/>
    <w:rsid w:val="000C5CE2"/>
    <w:rsid w:val="000D063E"/>
    <w:rsid w:val="000D33E9"/>
    <w:rsid w:val="000E5D35"/>
    <w:rsid w:val="000E7D46"/>
    <w:rsid w:val="000F3167"/>
    <w:rsid w:val="000F5529"/>
    <w:rsid w:val="00104115"/>
    <w:rsid w:val="001317A8"/>
    <w:rsid w:val="00132EE7"/>
    <w:rsid w:val="001526C5"/>
    <w:rsid w:val="001569A1"/>
    <w:rsid w:val="0016416F"/>
    <w:rsid w:val="00164FE4"/>
    <w:rsid w:val="001655DE"/>
    <w:rsid w:val="0017212E"/>
    <w:rsid w:val="001836E1"/>
    <w:rsid w:val="0018797F"/>
    <w:rsid w:val="00191D51"/>
    <w:rsid w:val="00194057"/>
    <w:rsid w:val="001947E6"/>
    <w:rsid w:val="001B0430"/>
    <w:rsid w:val="001B0559"/>
    <w:rsid w:val="001C57A0"/>
    <w:rsid w:val="001C62D6"/>
    <w:rsid w:val="001D3F68"/>
    <w:rsid w:val="001D7FDA"/>
    <w:rsid w:val="001E0637"/>
    <w:rsid w:val="001E1120"/>
    <w:rsid w:val="001E78A3"/>
    <w:rsid w:val="001F355E"/>
    <w:rsid w:val="00205EEF"/>
    <w:rsid w:val="00216816"/>
    <w:rsid w:val="00221E2B"/>
    <w:rsid w:val="00235B0F"/>
    <w:rsid w:val="00252E16"/>
    <w:rsid w:val="002710C2"/>
    <w:rsid w:val="002758E3"/>
    <w:rsid w:val="002811F3"/>
    <w:rsid w:val="00293896"/>
    <w:rsid w:val="002B605E"/>
    <w:rsid w:val="002D16AD"/>
    <w:rsid w:val="002D534E"/>
    <w:rsid w:val="002E0EAA"/>
    <w:rsid w:val="002E2272"/>
    <w:rsid w:val="002F1779"/>
    <w:rsid w:val="0030157A"/>
    <w:rsid w:val="003025A9"/>
    <w:rsid w:val="00303C9A"/>
    <w:rsid w:val="00303E27"/>
    <w:rsid w:val="00321762"/>
    <w:rsid w:val="00332CF4"/>
    <w:rsid w:val="003363F4"/>
    <w:rsid w:val="00337A9A"/>
    <w:rsid w:val="00341859"/>
    <w:rsid w:val="0035082C"/>
    <w:rsid w:val="0036112C"/>
    <w:rsid w:val="003619FF"/>
    <w:rsid w:val="00381EA2"/>
    <w:rsid w:val="00383906"/>
    <w:rsid w:val="0038697B"/>
    <w:rsid w:val="00391FD7"/>
    <w:rsid w:val="00396862"/>
    <w:rsid w:val="003A18E1"/>
    <w:rsid w:val="003A3E7B"/>
    <w:rsid w:val="003A6E1E"/>
    <w:rsid w:val="003C4864"/>
    <w:rsid w:val="003D3495"/>
    <w:rsid w:val="003D5A26"/>
    <w:rsid w:val="003D6275"/>
    <w:rsid w:val="003D6EEF"/>
    <w:rsid w:val="003E2993"/>
    <w:rsid w:val="003E5E2E"/>
    <w:rsid w:val="0040239E"/>
    <w:rsid w:val="00415824"/>
    <w:rsid w:val="00461FE0"/>
    <w:rsid w:val="004662C5"/>
    <w:rsid w:val="00466C08"/>
    <w:rsid w:val="004A726B"/>
    <w:rsid w:val="004B1D2D"/>
    <w:rsid w:val="004C57FC"/>
    <w:rsid w:val="004F0FF8"/>
    <w:rsid w:val="00503158"/>
    <w:rsid w:val="00523078"/>
    <w:rsid w:val="005262F0"/>
    <w:rsid w:val="00542D73"/>
    <w:rsid w:val="005430B9"/>
    <w:rsid w:val="005549C2"/>
    <w:rsid w:val="00555B42"/>
    <w:rsid w:val="00557168"/>
    <w:rsid w:val="005610BF"/>
    <w:rsid w:val="00574D08"/>
    <w:rsid w:val="00586D9A"/>
    <w:rsid w:val="0059211C"/>
    <w:rsid w:val="00594526"/>
    <w:rsid w:val="00594A31"/>
    <w:rsid w:val="005A0DFC"/>
    <w:rsid w:val="005C1FAB"/>
    <w:rsid w:val="005C56B8"/>
    <w:rsid w:val="005D5D90"/>
    <w:rsid w:val="005E2BEC"/>
    <w:rsid w:val="005F07B1"/>
    <w:rsid w:val="005F7877"/>
    <w:rsid w:val="00600E2C"/>
    <w:rsid w:val="00616202"/>
    <w:rsid w:val="00616B0E"/>
    <w:rsid w:val="006277FA"/>
    <w:rsid w:val="00632F06"/>
    <w:rsid w:val="0063748C"/>
    <w:rsid w:val="00642FDE"/>
    <w:rsid w:val="00647437"/>
    <w:rsid w:val="00660D8C"/>
    <w:rsid w:val="00674267"/>
    <w:rsid w:val="006749B9"/>
    <w:rsid w:val="00675485"/>
    <w:rsid w:val="00676352"/>
    <w:rsid w:val="006875D6"/>
    <w:rsid w:val="0069111C"/>
    <w:rsid w:val="00696F6C"/>
    <w:rsid w:val="006A3F0F"/>
    <w:rsid w:val="006B472B"/>
    <w:rsid w:val="006B5247"/>
    <w:rsid w:val="006C3BA0"/>
    <w:rsid w:val="006E46EB"/>
    <w:rsid w:val="006E7415"/>
    <w:rsid w:val="006F32CB"/>
    <w:rsid w:val="00701535"/>
    <w:rsid w:val="007118CC"/>
    <w:rsid w:val="00712F6D"/>
    <w:rsid w:val="00716E43"/>
    <w:rsid w:val="007357F4"/>
    <w:rsid w:val="007366BF"/>
    <w:rsid w:val="00751D1E"/>
    <w:rsid w:val="0075330F"/>
    <w:rsid w:val="00753B3C"/>
    <w:rsid w:val="00757321"/>
    <w:rsid w:val="007658C7"/>
    <w:rsid w:val="00766AAF"/>
    <w:rsid w:val="00784431"/>
    <w:rsid w:val="007866DC"/>
    <w:rsid w:val="007A1CDD"/>
    <w:rsid w:val="007A5E7D"/>
    <w:rsid w:val="007C1A0F"/>
    <w:rsid w:val="007C71FC"/>
    <w:rsid w:val="007D67C8"/>
    <w:rsid w:val="007E419B"/>
    <w:rsid w:val="008111D1"/>
    <w:rsid w:val="0081198E"/>
    <w:rsid w:val="008137B1"/>
    <w:rsid w:val="00824EC6"/>
    <w:rsid w:val="00827DCF"/>
    <w:rsid w:val="008311E1"/>
    <w:rsid w:val="00833A44"/>
    <w:rsid w:val="0084169A"/>
    <w:rsid w:val="00841E12"/>
    <w:rsid w:val="00843578"/>
    <w:rsid w:val="00847DE4"/>
    <w:rsid w:val="00851BC8"/>
    <w:rsid w:val="00876269"/>
    <w:rsid w:val="00893ED7"/>
    <w:rsid w:val="008A7686"/>
    <w:rsid w:val="008D3AAB"/>
    <w:rsid w:val="008E7359"/>
    <w:rsid w:val="008F3EB7"/>
    <w:rsid w:val="008F792C"/>
    <w:rsid w:val="00926932"/>
    <w:rsid w:val="00936BF2"/>
    <w:rsid w:val="00940B72"/>
    <w:rsid w:val="00944AD9"/>
    <w:rsid w:val="009522AF"/>
    <w:rsid w:val="00953825"/>
    <w:rsid w:val="00972D29"/>
    <w:rsid w:val="009735D1"/>
    <w:rsid w:val="00977719"/>
    <w:rsid w:val="009927F4"/>
    <w:rsid w:val="009959B6"/>
    <w:rsid w:val="009959DC"/>
    <w:rsid w:val="009B4469"/>
    <w:rsid w:val="009D6D58"/>
    <w:rsid w:val="00A13CD7"/>
    <w:rsid w:val="00A23883"/>
    <w:rsid w:val="00A31BB7"/>
    <w:rsid w:val="00A354AA"/>
    <w:rsid w:val="00A36914"/>
    <w:rsid w:val="00A40817"/>
    <w:rsid w:val="00A45F76"/>
    <w:rsid w:val="00A53741"/>
    <w:rsid w:val="00A64736"/>
    <w:rsid w:val="00A65EBF"/>
    <w:rsid w:val="00A70399"/>
    <w:rsid w:val="00A70C8E"/>
    <w:rsid w:val="00A74952"/>
    <w:rsid w:val="00A772EB"/>
    <w:rsid w:val="00A932CE"/>
    <w:rsid w:val="00AA0539"/>
    <w:rsid w:val="00AA74C0"/>
    <w:rsid w:val="00AB21F2"/>
    <w:rsid w:val="00AB24A2"/>
    <w:rsid w:val="00AB5D25"/>
    <w:rsid w:val="00AC5955"/>
    <w:rsid w:val="00AD1E31"/>
    <w:rsid w:val="00AD316C"/>
    <w:rsid w:val="00AD658E"/>
    <w:rsid w:val="00AE6B10"/>
    <w:rsid w:val="00B1096D"/>
    <w:rsid w:val="00B241FC"/>
    <w:rsid w:val="00B35727"/>
    <w:rsid w:val="00B37C31"/>
    <w:rsid w:val="00B44E74"/>
    <w:rsid w:val="00B54259"/>
    <w:rsid w:val="00B54795"/>
    <w:rsid w:val="00B80AEB"/>
    <w:rsid w:val="00B81639"/>
    <w:rsid w:val="00BA0E0A"/>
    <w:rsid w:val="00BB53C1"/>
    <w:rsid w:val="00BB7202"/>
    <w:rsid w:val="00BD5AA0"/>
    <w:rsid w:val="00BD6008"/>
    <w:rsid w:val="00BE1B5C"/>
    <w:rsid w:val="00BE4E03"/>
    <w:rsid w:val="00BE6C47"/>
    <w:rsid w:val="00C04478"/>
    <w:rsid w:val="00C056F3"/>
    <w:rsid w:val="00C0686F"/>
    <w:rsid w:val="00C07965"/>
    <w:rsid w:val="00C13133"/>
    <w:rsid w:val="00C20498"/>
    <w:rsid w:val="00C27A54"/>
    <w:rsid w:val="00C40291"/>
    <w:rsid w:val="00C522D6"/>
    <w:rsid w:val="00C71F98"/>
    <w:rsid w:val="00C77240"/>
    <w:rsid w:val="00C819FC"/>
    <w:rsid w:val="00C81E23"/>
    <w:rsid w:val="00CA20A0"/>
    <w:rsid w:val="00CA7459"/>
    <w:rsid w:val="00CB57EC"/>
    <w:rsid w:val="00CC231C"/>
    <w:rsid w:val="00CC790B"/>
    <w:rsid w:val="00CD4C4D"/>
    <w:rsid w:val="00CE3DBC"/>
    <w:rsid w:val="00CF0B20"/>
    <w:rsid w:val="00CF2DB6"/>
    <w:rsid w:val="00CF3BC4"/>
    <w:rsid w:val="00CF5ECA"/>
    <w:rsid w:val="00D11331"/>
    <w:rsid w:val="00D166FE"/>
    <w:rsid w:val="00D53A9C"/>
    <w:rsid w:val="00D62302"/>
    <w:rsid w:val="00D62A79"/>
    <w:rsid w:val="00D63473"/>
    <w:rsid w:val="00D757AB"/>
    <w:rsid w:val="00D76E73"/>
    <w:rsid w:val="00D91E96"/>
    <w:rsid w:val="00DA7311"/>
    <w:rsid w:val="00DB1DC2"/>
    <w:rsid w:val="00DC250F"/>
    <w:rsid w:val="00DC39C7"/>
    <w:rsid w:val="00DC4466"/>
    <w:rsid w:val="00DD0F00"/>
    <w:rsid w:val="00DD51DE"/>
    <w:rsid w:val="00DE082F"/>
    <w:rsid w:val="00E017EA"/>
    <w:rsid w:val="00E01919"/>
    <w:rsid w:val="00E150E9"/>
    <w:rsid w:val="00E404DE"/>
    <w:rsid w:val="00E447DD"/>
    <w:rsid w:val="00E5502F"/>
    <w:rsid w:val="00E70351"/>
    <w:rsid w:val="00E72E21"/>
    <w:rsid w:val="00E76842"/>
    <w:rsid w:val="00E87476"/>
    <w:rsid w:val="00E92D10"/>
    <w:rsid w:val="00EB4DF1"/>
    <w:rsid w:val="00EC4455"/>
    <w:rsid w:val="00ED0345"/>
    <w:rsid w:val="00ED08DE"/>
    <w:rsid w:val="00EE63D4"/>
    <w:rsid w:val="00EF25FE"/>
    <w:rsid w:val="00EF4154"/>
    <w:rsid w:val="00F00CAF"/>
    <w:rsid w:val="00F01C4D"/>
    <w:rsid w:val="00F02894"/>
    <w:rsid w:val="00F055AF"/>
    <w:rsid w:val="00F17E5F"/>
    <w:rsid w:val="00F27C63"/>
    <w:rsid w:val="00F364BC"/>
    <w:rsid w:val="00F447D0"/>
    <w:rsid w:val="00F52223"/>
    <w:rsid w:val="00F65A11"/>
    <w:rsid w:val="00F70232"/>
    <w:rsid w:val="00FD1C60"/>
    <w:rsid w:val="00FD3062"/>
    <w:rsid w:val="00FE6098"/>
    <w:rsid w:val="00FF4F56"/>
    <w:rsid w:val="01376F64"/>
    <w:rsid w:val="021F454E"/>
    <w:rsid w:val="02AB7D4B"/>
    <w:rsid w:val="06A1366D"/>
    <w:rsid w:val="085E75B8"/>
    <w:rsid w:val="0899579C"/>
    <w:rsid w:val="0EB5194C"/>
    <w:rsid w:val="0EFE158B"/>
    <w:rsid w:val="110640BD"/>
    <w:rsid w:val="11506E9E"/>
    <w:rsid w:val="13DD16DE"/>
    <w:rsid w:val="14066EC5"/>
    <w:rsid w:val="187E2762"/>
    <w:rsid w:val="18F94479"/>
    <w:rsid w:val="19705E1D"/>
    <w:rsid w:val="1F572294"/>
    <w:rsid w:val="1FEE1ED5"/>
    <w:rsid w:val="219A65D3"/>
    <w:rsid w:val="21CA2580"/>
    <w:rsid w:val="22B56E6A"/>
    <w:rsid w:val="231953D6"/>
    <w:rsid w:val="25150472"/>
    <w:rsid w:val="263B3016"/>
    <w:rsid w:val="29E64636"/>
    <w:rsid w:val="2A5C66D3"/>
    <w:rsid w:val="2A8D4279"/>
    <w:rsid w:val="2C657E72"/>
    <w:rsid w:val="2D3C33DD"/>
    <w:rsid w:val="2ECF2E88"/>
    <w:rsid w:val="2FB1798E"/>
    <w:rsid w:val="300E5A3B"/>
    <w:rsid w:val="31852882"/>
    <w:rsid w:val="32C44342"/>
    <w:rsid w:val="34891E36"/>
    <w:rsid w:val="376773CB"/>
    <w:rsid w:val="37992201"/>
    <w:rsid w:val="3A4D5DAD"/>
    <w:rsid w:val="3B615EA6"/>
    <w:rsid w:val="3D9E1427"/>
    <w:rsid w:val="3E147AF0"/>
    <w:rsid w:val="3F72201C"/>
    <w:rsid w:val="401C3410"/>
    <w:rsid w:val="40A67377"/>
    <w:rsid w:val="42CE71EB"/>
    <w:rsid w:val="43B320E2"/>
    <w:rsid w:val="496E79FC"/>
    <w:rsid w:val="4A226B87"/>
    <w:rsid w:val="4B1414B0"/>
    <w:rsid w:val="4CD27940"/>
    <w:rsid w:val="4D0755F1"/>
    <w:rsid w:val="4D7A76A0"/>
    <w:rsid w:val="4F2A102A"/>
    <w:rsid w:val="521230F7"/>
    <w:rsid w:val="53F22680"/>
    <w:rsid w:val="5583296B"/>
    <w:rsid w:val="55C12CF2"/>
    <w:rsid w:val="571C48BF"/>
    <w:rsid w:val="59351ADB"/>
    <w:rsid w:val="5A5C1E82"/>
    <w:rsid w:val="5AE95A06"/>
    <w:rsid w:val="5E0B2FF4"/>
    <w:rsid w:val="60B6304F"/>
    <w:rsid w:val="614136CA"/>
    <w:rsid w:val="650C3FA9"/>
    <w:rsid w:val="652A4872"/>
    <w:rsid w:val="659601E6"/>
    <w:rsid w:val="66297FCE"/>
    <w:rsid w:val="67280AEB"/>
    <w:rsid w:val="67801FD0"/>
    <w:rsid w:val="6B5F2C87"/>
    <w:rsid w:val="6C113AFB"/>
    <w:rsid w:val="6E905A15"/>
    <w:rsid w:val="6F9B6121"/>
    <w:rsid w:val="70BB0C1C"/>
    <w:rsid w:val="7A305196"/>
    <w:rsid w:val="7C4E30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page number"/>
    <w:basedOn w:val="7"/>
    <w:qFormat/>
    <w:uiPriority w:val="0"/>
  </w:style>
  <w:style w:type="character" w:customStyle="1" w:styleId="9">
    <w:name w:val="纯文本 Char"/>
    <w:basedOn w:val="7"/>
    <w:link w:val="2"/>
    <w:qFormat/>
    <w:uiPriority w:val="0"/>
    <w:rPr>
      <w:rFonts w:ascii="宋体" w:hAnsi="Courier New" w:eastAsia="宋体"/>
    </w:rPr>
  </w:style>
  <w:style w:type="character" w:customStyle="1" w:styleId="10">
    <w:name w:val="纯文本 Char1"/>
    <w:basedOn w:val="7"/>
    <w:semiHidden/>
    <w:qFormat/>
    <w:uiPriority w:val="99"/>
    <w:rPr>
      <w:rFonts w:ascii="宋体" w:hAnsi="Courier New" w:eastAsia="宋体" w:cs="Courier New"/>
      <w:szCs w:val="21"/>
    </w:rPr>
  </w:style>
  <w:style w:type="paragraph" w:customStyle="1" w:styleId="11">
    <w:name w:val="列出段落1"/>
    <w:basedOn w:val="1"/>
    <w:qFormat/>
    <w:uiPriority w:val="34"/>
    <w:pPr>
      <w:ind w:firstLine="420" w:firstLineChars="200"/>
    </w:pPr>
  </w:style>
  <w:style w:type="character" w:customStyle="1" w:styleId="12">
    <w:name w:val="页眉 Char"/>
    <w:basedOn w:val="7"/>
    <w:link w:val="4"/>
    <w:qFormat/>
    <w:uiPriority w:val="99"/>
    <w:rPr>
      <w:sz w:val="18"/>
      <w:szCs w:val="18"/>
    </w:rPr>
  </w:style>
  <w:style w:type="character" w:customStyle="1" w:styleId="13">
    <w:name w:val="页脚 Char"/>
    <w:basedOn w:val="7"/>
    <w:link w:val="3"/>
    <w:qFormat/>
    <w:uiPriority w:val="99"/>
    <w:rPr>
      <w:sz w:val="18"/>
      <w:szCs w:val="18"/>
    </w:rPr>
  </w:style>
  <w:style w:type="paragraph" w:customStyle="1" w:styleId="14">
    <w:name w:val="p0"/>
    <w:basedOn w:val="1"/>
    <w:qFormat/>
    <w:uiPriority w:val="0"/>
    <w:pPr>
      <w:widowControl/>
    </w:pPr>
    <w:rPr>
      <w:rFonts w:ascii="Times New Roman" w:hAnsi="Times New Roman" w:eastAsia="宋体" w:cs="Times New Roman"/>
      <w:kern w:val="0"/>
      <w:szCs w:val="21"/>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705</Characters>
  <Lines>5</Lines>
  <Paragraphs>1</Paragraphs>
  <TotalTime>10</TotalTime>
  <ScaleCrop>false</ScaleCrop>
  <LinksUpToDate>false</LinksUpToDate>
  <CharactersWithSpaces>827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2016-04-08T01:10:00Z</dcterms:created>
  <dc:creator>Administrator</dc:creator>
  <cp:lastModifiedBy>其实我曾经是个帅锅</cp:lastModifiedBy>
  <cp:lastPrinted>2021-06-22T09:22:00Z</cp:lastPrinted>
  <dcterms:modified xsi:type="dcterms:W3CDTF">2021-08-13T02:54:38Z</dcterms:modified>
  <cp:revision>297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F86C7E745E1C4C33BA4E6499EA892A1C</vt:lpwstr>
  </property>
</Properties>
</file>